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C7B1B" w14:textId="77777777" w:rsidR="00553CDB" w:rsidRPr="00553CDB" w:rsidRDefault="00553CDB" w:rsidP="00553CD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color w:val="000000" w:themeColor="text1"/>
          <w:sz w:val="24"/>
          <w:szCs w:val="24"/>
          <w:vertAlign w:val="superscript"/>
        </w:rPr>
      </w:pPr>
      <w:r w:rsidRPr="00553CDB">
        <w:rPr>
          <w:color w:val="000000" w:themeColor="text1"/>
          <w:sz w:val="24"/>
          <w:szCs w:val="24"/>
        </w:rPr>
        <w:t>Приложение № 8</w:t>
      </w:r>
    </w:p>
    <w:p w14:paraId="17BBC56E" w14:textId="77777777" w:rsidR="00553CDB" w:rsidRPr="00553CDB" w:rsidRDefault="00553CDB" w:rsidP="00553CD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к Положению об управлении </w:t>
      </w:r>
    </w:p>
    <w:p w14:paraId="1991C1F0" w14:textId="77777777" w:rsidR="00553CDB" w:rsidRPr="00553CDB" w:rsidRDefault="00553CDB" w:rsidP="00553CD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бывшими в употреблении шинами</w:t>
      </w:r>
    </w:p>
    <w:p w14:paraId="07C9D7C7" w14:textId="77777777" w:rsidR="00553CDB" w:rsidRPr="00553CDB" w:rsidRDefault="00553CDB" w:rsidP="00553CDB">
      <w:pPr>
        <w:jc w:val="center"/>
        <w:rPr>
          <w:b/>
          <w:bCs/>
          <w:color w:val="000000" w:themeColor="text1"/>
          <w:sz w:val="24"/>
          <w:szCs w:val="24"/>
        </w:rPr>
      </w:pPr>
    </w:p>
    <w:p w14:paraId="65679A9F" w14:textId="77777777" w:rsidR="00553CDB" w:rsidRPr="00553CDB" w:rsidRDefault="00553CDB" w:rsidP="00553CDB">
      <w:pPr>
        <w:jc w:val="center"/>
        <w:rPr>
          <w:b/>
          <w:bCs/>
          <w:color w:val="000000" w:themeColor="text1"/>
          <w:sz w:val="24"/>
          <w:szCs w:val="24"/>
        </w:rPr>
      </w:pPr>
      <w:r w:rsidRPr="00553CDB">
        <w:rPr>
          <w:b/>
          <w:color w:val="000000" w:themeColor="text1"/>
          <w:sz w:val="24"/>
          <w:szCs w:val="24"/>
        </w:rPr>
        <w:t xml:space="preserve">ПОРЯДОК ПРОВЕРКИ  </w:t>
      </w:r>
    </w:p>
    <w:p w14:paraId="52A3C1D8" w14:textId="77777777" w:rsidR="00553CDB" w:rsidRPr="00553CDB" w:rsidRDefault="00553CDB" w:rsidP="00553CDB">
      <w:pPr>
        <w:jc w:val="center"/>
        <w:rPr>
          <w:b/>
          <w:bCs/>
          <w:color w:val="000000" w:themeColor="text1"/>
          <w:sz w:val="24"/>
          <w:szCs w:val="24"/>
        </w:rPr>
      </w:pPr>
      <w:r w:rsidRPr="00553CDB">
        <w:rPr>
          <w:b/>
          <w:color w:val="000000" w:themeColor="text1"/>
          <w:sz w:val="24"/>
          <w:szCs w:val="24"/>
        </w:rPr>
        <w:t>пояснительного и финансового отчетов о достижении целей</w:t>
      </w:r>
    </w:p>
    <w:p w14:paraId="6F504D83" w14:textId="77777777" w:rsidR="00553CDB" w:rsidRPr="00553CDB" w:rsidRDefault="00553CDB" w:rsidP="00553CDB">
      <w:pPr>
        <w:spacing w:line="240" w:lineRule="atLeast"/>
        <w:ind w:right="-394"/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 </w:t>
      </w:r>
    </w:p>
    <w:p w14:paraId="76BA96D1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В пояснительном и финансовом отчетах содержится информация о реализации расширенной ответственности производителя логистического и финансового характера, установленная Положением и Законом № 209/2016 об отходах. </w:t>
      </w:r>
    </w:p>
    <w:p w14:paraId="6F38D66B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Проверка описательного и финансового отчетов о достижении целей включает, но не ограничивается следующими аспектами:   </w:t>
      </w:r>
    </w:p>
    <w:p w14:paraId="7286C8DE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1) выполнение обязанностей, описанных в главах III–VII;    </w:t>
      </w:r>
    </w:p>
    <w:p w14:paraId="37D4F28C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2) соблюдение требований к организации коллективной системы, обновление списка производителей, присоединившихся к коллективной системе, на официальной веб-странице, создание контролирующего органа (цензора), представление аудиторского отчета, в соответствующих случаях;</w:t>
      </w:r>
    </w:p>
    <w:p w14:paraId="7F69AF1C" w14:textId="77777777" w:rsidR="00553CDB" w:rsidRPr="00553CDB" w:rsidRDefault="00553CDB" w:rsidP="00553CDB">
      <w:pPr>
        <w:pStyle w:val="a7"/>
        <w:spacing w:after="0" w:line="240" w:lineRule="auto"/>
        <w:ind w:left="142" w:firstLine="578"/>
        <w:rPr>
          <w:rFonts w:cs="Times New Roman"/>
          <w:color w:val="000000" w:themeColor="text1"/>
          <w:szCs w:val="24"/>
        </w:rPr>
      </w:pPr>
      <w:r w:rsidRPr="00553CDB">
        <w:rPr>
          <w:rFonts w:cs="Times New Roman"/>
          <w:color w:val="000000" w:themeColor="text1"/>
          <w:szCs w:val="24"/>
        </w:rPr>
        <w:t xml:space="preserve">3) проверка достоверности отчетов о ходе выполнения годовых целевых показателей по сбору и переработке отходов, согласно требованиям Положения, и предоставление подтверждающих документов, на основании которых осуществлялись операции по управлению отходами, с указанием количества собранных и обработанных отходов;    </w:t>
      </w:r>
    </w:p>
    <w:p w14:paraId="146FC59A" w14:textId="77777777" w:rsidR="00553CDB" w:rsidRPr="00553CDB" w:rsidRDefault="00553CDB" w:rsidP="00553CDB">
      <w:pPr>
        <w:ind w:firstLine="720"/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4) проверка состояния развития инфраструктуры по сбору отходов с акцентом на следующее:</w:t>
      </w:r>
    </w:p>
    <w:p w14:paraId="1EFC6550" w14:textId="77777777" w:rsidR="00553CDB" w:rsidRPr="00553CDB" w:rsidRDefault="00553CDB" w:rsidP="00553CDB">
      <w:pPr>
        <w:tabs>
          <w:tab w:val="left" w:pos="1440"/>
        </w:tabs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a) развитие собственной инфраструктуры по сбору (пункты сбора, оборудованные контейнерами, через производителей/дистрибьюторов и т. д.); </w:t>
      </w:r>
    </w:p>
    <w:p w14:paraId="53C762A9" w14:textId="77777777" w:rsidR="00553CDB" w:rsidRPr="00553CDB" w:rsidRDefault="00553CDB" w:rsidP="00553CDB">
      <w:pPr>
        <w:tabs>
          <w:tab w:val="left" w:pos="993"/>
        </w:tabs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b) функционирование систем управления соответствующими потоками отходов на всей территории страны, не ограничиваясь теми районами, где сбор и управление отходами наиболее прибыльны;</w:t>
      </w:r>
    </w:p>
    <w:p w14:paraId="2320DADE" w14:textId="77777777" w:rsidR="00553CDB" w:rsidRPr="00553CDB" w:rsidRDefault="00553CDB" w:rsidP="00553CDB">
      <w:pPr>
        <w:tabs>
          <w:tab w:val="left" w:pos="1440"/>
        </w:tabs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c) заключение договоров с органами местного публичного управления, в соответствующих случаях;</w:t>
      </w:r>
    </w:p>
    <w:p w14:paraId="3E793896" w14:textId="77777777" w:rsidR="00553CDB" w:rsidRPr="00553CDB" w:rsidRDefault="00553CDB" w:rsidP="00553CDB">
      <w:pPr>
        <w:tabs>
          <w:tab w:val="left" w:pos="1440"/>
        </w:tabs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d) финансирование расходов, указанных в части (2</w:t>
      </w:r>
      <w:r w:rsidRPr="00553CDB">
        <w:rPr>
          <w:color w:val="000000" w:themeColor="text1"/>
          <w:sz w:val="24"/>
          <w:szCs w:val="24"/>
          <w:vertAlign w:val="superscript"/>
        </w:rPr>
        <w:t>1</w:t>
      </w:r>
      <w:r w:rsidRPr="00553CDB">
        <w:rPr>
          <w:color w:val="000000" w:themeColor="text1"/>
          <w:sz w:val="24"/>
          <w:szCs w:val="24"/>
        </w:rPr>
        <w:t xml:space="preserve">) статьи 12 Закона № 209/2016 об отходах; </w:t>
      </w:r>
    </w:p>
    <w:p w14:paraId="4B7CA656" w14:textId="77777777" w:rsidR="00553CDB" w:rsidRPr="00553CDB" w:rsidRDefault="00553CDB" w:rsidP="00553CDB">
      <w:pPr>
        <w:tabs>
          <w:tab w:val="left" w:pos="1440"/>
        </w:tabs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e) заключение договоров с авторизованными переработчиками и рециркуляторами, обладающими возможностями обрабатывать бывшие в употреблении шины;</w:t>
      </w:r>
    </w:p>
    <w:p w14:paraId="080614E7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5) проверка соответствия отчетности в отношении производителей отработанных масел, сборщиков отработанных масел и операторов, авторизованных в области обработки бывших в употреблении шин;   </w:t>
      </w:r>
    </w:p>
    <w:p w14:paraId="6C5C855B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6) проверка финансовых аспектов, а именно:</w:t>
      </w:r>
    </w:p>
    <w:p w14:paraId="3474F10A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a) размещение информации о размере тарифов за принятие на себя ответственности по управлению отходами на официальной веб-странице; </w:t>
      </w:r>
    </w:p>
    <w:p w14:paraId="054FE594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b) представление и описание операционных расходов на управление отходами; </w:t>
      </w:r>
    </w:p>
    <w:p w14:paraId="6527032E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c) финансовые взносы, покрывающие все расходы, указанные в части (2</w:t>
      </w:r>
      <w:r w:rsidRPr="00553CDB">
        <w:rPr>
          <w:color w:val="000000" w:themeColor="text1"/>
          <w:sz w:val="24"/>
          <w:szCs w:val="24"/>
          <w:vertAlign w:val="superscript"/>
        </w:rPr>
        <w:t>1</w:t>
      </w:r>
      <w:r w:rsidRPr="00553CDB">
        <w:rPr>
          <w:color w:val="000000" w:themeColor="text1"/>
          <w:sz w:val="24"/>
          <w:szCs w:val="24"/>
        </w:rPr>
        <w:t>) статьи 12 Закона № 209/2016 об отходах</w:t>
      </w:r>
    </w:p>
    <w:p w14:paraId="24B1E031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7) проверка прослеживаемости собранных отходов от пункта сбора/ коллектора до установки по обработке/освоению;   </w:t>
      </w:r>
    </w:p>
    <w:p w14:paraId="56F28187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8) результаты проверок, проведенных природоохранными органами, в соответствующих случаях;   </w:t>
      </w:r>
    </w:p>
    <w:p w14:paraId="30600E0E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9) соблюдение предписаний, содержащихся в природоохранном разрешении, в соответствующих случаях;   </w:t>
      </w:r>
    </w:p>
    <w:p w14:paraId="70080C25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lastRenderedPageBreak/>
        <w:t>10) подтверждение формирования финансовой гарантии/ резервного фонда в форме, применимой к каждой категории индивидуальных производителей/ уполномоченных представителей/ коллективных организаций;</w:t>
      </w:r>
    </w:p>
    <w:p w14:paraId="7FC6D834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11) выполнение годовых целевых показателей по сбору, обработке и освоению, в соответствии с требованиями настоящего Положения;</w:t>
      </w:r>
    </w:p>
    <w:p w14:paraId="0A615155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12) обеспечение прозрачности по отношению ко всем экономическим операторам, за которых была принята ответственность;     </w:t>
      </w:r>
    </w:p>
    <w:p w14:paraId="5279E8E5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13) соблюдение одинаковых тарифов за принятие ответственности за управление бывшими в употреблении шинами по отношению ко всем производителям/уполномоченным представителям, за которых они приняли ответственность, в соответствующих случаях;     </w:t>
      </w:r>
    </w:p>
    <w:p w14:paraId="29E869D1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14) реинвестирование прибыли в те же виды деятельности, которые осуществлялись с целью выполнения обязательств, в отношении которых была принята ответственность коллективными системами;     </w:t>
      </w:r>
    </w:p>
    <w:p w14:paraId="54303B7C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15) описание действий по информированию общественности:</w:t>
      </w:r>
    </w:p>
    <w:p w14:paraId="5966E59A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a) осуществление информационных кампаний для потребителей и пользователей;</w:t>
      </w:r>
    </w:p>
    <w:p w14:paraId="5B8331D1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b) предоставление прозрачной публичной информации о сборе и обработке отходов с указанием на достижение целей;</w:t>
      </w:r>
    </w:p>
    <w:p w14:paraId="531AF5D7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c) в случае коллективного выполнения обязательств, связанных с расширенной ответственностью производителя, предоставление информации об:</w:t>
      </w:r>
    </w:p>
    <w:p w14:paraId="4C562DEB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- учредителях и членах коллективной системы;</w:t>
      </w:r>
    </w:p>
    <w:p w14:paraId="212C7108" w14:textId="77777777" w:rsidR="00553CDB" w:rsidRPr="00553CDB" w:rsidRDefault="00553CDB" w:rsidP="00553CDB">
      <w:pPr>
        <w:ind w:firstLine="720"/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- финансовых взносах, выплачиваемых производителями продукции за каждую проданную единицу или за каждую тонну продукции, размещенную на рынке; </w:t>
      </w:r>
    </w:p>
    <w:p w14:paraId="40F8FF85" w14:textId="77777777" w:rsidR="00553CDB" w:rsidRPr="00553CDB" w:rsidRDefault="00553CDB" w:rsidP="00553CDB">
      <w:pPr>
        <w:ind w:left="720" w:firstLine="0"/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>- процедуре отбора операторов по переработке отработанных масел;</w:t>
      </w:r>
    </w:p>
    <w:p w14:paraId="2B6F7353" w14:textId="77777777" w:rsidR="00553CDB" w:rsidRPr="00553CDB" w:rsidRDefault="00553CDB" w:rsidP="00553CDB">
      <w:pPr>
        <w:rPr>
          <w:color w:val="000000" w:themeColor="text1"/>
          <w:sz w:val="24"/>
          <w:szCs w:val="24"/>
        </w:rPr>
      </w:pPr>
      <w:r w:rsidRPr="00553CDB">
        <w:rPr>
          <w:color w:val="000000" w:themeColor="text1"/>
          <w:sz w:val="24"/>
          <w:szCs w:val="24"/>
        </w:rPr>
        <w:t xml:space="preserve">16) выявление существующих рисков и порядок их устранения;    </w:t>
      </w:r>
    </w:p>
    <w:p w14:paraId="5AD72A79" w14:textId="73C7632C" w:rsidR="00B32DE8" w:rsidRPr="00553CDB" w:rsidRDefault="00553CDB" w:rsidP="00553CDB">
      <w:pPr>
        <w:rPr>
          <w:sz w:val="24"/>
          <w:szCs w:val="24"/>
          <w:lang w:val="ro-RO"/>
        </w:rPr>
      </w:pPr>
      <w:r w:rsidRPr="00553CDB">
        <w:rPr>
          <w:color w:val="000000" w:themeColor="text1"/>
          <w:sz w:val="24"/>
          <w:szCs w:val="24"/>
        </w:rPr>
        <w:t>17) внутренние и внешние элементы, которые мешают индивидуальному производителю/коллективной системе достичь целевых показателей по сбору и обработке бывших в употреблении шин.</w:t>
      </w:r>
    </w:p>
    <w:sectPr w:rsidR="00B32DE8" w:rsidRPr="00553CDB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DB"/>
    <w:rsid w:val="00553CDB"/>
    <w:rsid w:val="0058181B"/>
    <w:rsid w:val="005C0197"/>
    <w:rsid w:val="006D1F82"/>
    <w:rsid w:val="00812258"/>
    <w:rsid w:val="009F3CD3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67C61"/>
  <w15:chartTrackingRefBased/>
  <w15:docId w15:val="{B9CA70BF-24FA-44AE-9C33-6A1552599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D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53CDB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3CDB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3CDB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3CDB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3CDB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3CDB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3CDB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3CDB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3CDB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CD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53CD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53CD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53CDB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53CDB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553CDB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53CDB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53CDB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53CDB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553CDB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53C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3CDB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53C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53CDB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53CDB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aliases w:val="List Paragraph 1,List Paragraph11,Абзац списка2,Scriptoria bullet points"/>
    <w:basedOn w:val="a"/>
    <w:link w:val="a8"/>
    <w:uiPriority w:val="34"/>
    <w:qFormat/>
    <w:rsid w:val="00553CDB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a9">
    <w:name w:val="Intense Emphasis"/>
    <w:basedOn w:val="a0"/>
    <w:uiPriority w:val="21"/>
    <w:qFormat/>
    <w:rsid w:val="00553CDB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53CD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553CDB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c">
    <w:name w:val="Intense Reference"/>
    <w:basedOn w:val="a0"/>
    <w:uiPriority w:val="32"/>
    <w:qFormat/>
    <w:rsid w:val="00553CDB"/>
    <w:rPr>
      <w:b/>
      <w:bCs/>
      <w:smallCaps/>
      <w:color w:val="365F91" w:themeColor="accent1" w:themeShade="BF"/>
      <w:spacing w:val="5"/>
    </w:rPr>
  </w:style>
  <w:style w:type="character" w:customStyle="1" w:styleId="a8">
    <w:name w:val="Абзац списка Знак"/>
    <w:aliases w:val="List Paragraph 1 Знак,List Paragraph11 Знак,Абзац списка2 Знак,Scriptoria bullet points Знак"/>
    <w:basedOn w:val="a0"/>
    <w:link w:val="a7"/>
    <w:uiPriority w:val="34"/>
    <w:locked/>
    <w:rsid w:val="00553CD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3812</Characters>
  <Application>Microsoft Office Word</Application>
  <DocSecurity>0</DocSecurity>
  <Lines>31</Lines>
  <Paragraphs>8</Paragraphs>
  <ScaleCrop>false</ScaleCrop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2025-11-07T09:44:00Z</dcterms:created>
  <dcterms:modified xsi:type="dcterms:W3CDTF">2025-11-07T09:45:00Z</dcterms:modified>
</cp:coreProperties>
</file>